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EBF4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43DAF4BB" wp14:editId="41EB789C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D8F10A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15A40126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4FCCD397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7FDE17F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50CC39B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49CC27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829A5D8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3CDE4F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5CF110C" w14:textId="287C59E7" w:rsidR="00CB72ED" w:rsidRPr="00B96B4F" w:rsidRDefault="00607A6E" w:rsidP="007209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76146" w:rsidRPr="00F76146">
              <w:rPr>
                <w:rFonts w:asciiTheme="majorHAnsi" w:hAnsiTheme="majorHAnsi" w:cs="Arial"/>
                <w:b/>
                <w:sz w:val="18"/>
                <w:szCs w:val="18"/>
              </w:rPr>
              <w:t>Online chemistry education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D44031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CD55E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0990F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AE173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2462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CE4B3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CD39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77ED3C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537E36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C1B89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E4D7947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7901A4B" w14:textId="77777777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AEAF7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D325D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04B26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E05FE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6F790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27AE1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F1AEA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318E23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168D23E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FA7CC1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234E0A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3F81F9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60E09F3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4483B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F2202E1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226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59AB63D7" w14:textId="448B9B96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76146">
              <w:rPr>
                <w:rFonts w:asciiTheme="majorHAnsi" w:hAnsiTheme="majorHAnsi" w:cs="Arial"/>
                <w:b/>
                <w:sz w:val="18"/>
                <w:szCs w:val="18"/>
              </w:rPr>
              <w:t>II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8AC05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76D528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A6EBB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52517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B12D5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C90C9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993BB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D2859F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5D0248E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B3008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650F0B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0103C8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39EF2B83" w14:textId="3BE902BC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76146">
              <w:rPr>
                <w:rFonts w:asciiTheme="majorHAnsi" w:hAnsiTheme="majorHAnsi" w:cs="Arial"/>
                <w:b/>
                <w:sz w:val="18"/>
                <w:szCs w:val="18"/>
              </w:rPr>
              <w:t>IV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B575A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AFED3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CFCA3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32711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CC424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BB0E4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C4C35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F36A3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566EC50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28A97E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42C04B" w14:textId="7777777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2A5679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1A3F8BD7" w14:textId="74FD20EC" w:rsidR="00CB72ED" w:rsidRPr="00B96B4F" w:rsidRDefault="00607A6E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971D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70B3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12E47D3E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E843BA2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1F0B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FE9FEC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4AD800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B98D1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09C68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B68DF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145FC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FCC3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B78FD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E126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95FF8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769642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B961325" w14:textId="33BE7FF9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CFA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1352E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04E4C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D0BD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018C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7B81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425F2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7F0157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0436D3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C1694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C808E0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1074662D" w14:textId="43B91799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none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0F1E1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AD6B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AC747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1919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FEA67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80E7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24091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835AD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1902BD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934E0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83EBDD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764163EF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45A3B06D" w14:textId="4092CAD0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3B40EF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DAE79D0" w14:textId="5A7B6F1E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CA875C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64FC6C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2CEF3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871D04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614FF8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3F1B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F38E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043048B" w14:textId="77777777" w:rsidTr="004E556A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15BB029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vAlign w:val="center"/>
          </w:tcPr>
          <w:p w14:paraId="425E8C8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5E64C5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61223FB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FB4C11" w14:textId="4C62BEC5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3A219FE" w14:textId="77777777"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BFBBE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58857307" w14:textId="77777777"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129AA691" w14:textId="77777777"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14:paraId="51F4C60B" w14:textId="77777777"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 w14:paraId="2A2B7E44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5E4CAC10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E71BB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C24A8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55748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8F2C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FA8CF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03F33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197CA79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F60A5" w14:textId="033D627D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6B67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C85E4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29585E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FCE23" w14:textId="09295AF9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A4542">
              <w:rPr>
                <w:rFonts w:asciiTheme="majorHAnsi" w:hAnsiTheme="majorHAnsi"/>
                <w:b/>
                <w:sz w:val="18"/>
                <w:szCs w:val="18"/>
              </w:rPr>
              <w:t>33.75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5311BE5B" w14:textId="7777777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14:paraId="0095C73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D0955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3A2540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423967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2F3186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1A0F2B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46587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6AC08E6F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52F4F" w14:textId="229957A1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94D4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DB964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AE252C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4B590" w14:textId="5F3B40F8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A4542">
              <w:rPr>
                <w:rFonts w:asciiTheme="majorHAnsi" w:hAnsiTheme="majorHAnsi"/>
                <w:b/>
                <w:sz w:val="18"/>
                <w:szCs w:val="18"/>
              </w:rPr>
              <w:t>74.42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41A8A56A" w14:textId="7777777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57BB95B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26C06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55512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BC1AB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4FD3F0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10B66E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00D02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7DDEB24A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AB877" w14:textId="6FC3854A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7614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33A9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BD3B9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F629B6" w14:textId="77777777"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B0C3A" w14:textId="5B0ECD5A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A4542">
              <w:rPr>
                <w:rFonts w:asciiTheme="majorHAnsi" w:hAnsiTheme="majorHAnsi" w:cs="Arial"/>
                <w:b/>
                <w:sz w:val="18"/>
                <w:szCs w:val="18"/>
              </w:rPr>
              <w:t>108,1</w:t>
            </w:r>
            <w:r w:rsidR="00730AA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4E556A" w:rsidRPr="00B96B4F" w14:paraId="38C9E92C" w14:textId="77777777" w:rsidTr="00DA2BAA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14:paraId="2C3D71A3" w14:textId="77777777" w:rsidR="004E556A" w:rsidRPr="00B96B4F" w:rsidRDefault="004E556A" w:rsidP="00DA2BAA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C3D370E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37600CE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109CE2E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0379167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5ED1FC53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4E556A" w:rsidRPr="00B96B4F" w14:paraId="00448135" w14:textId="77777777" w:rsidTr="00DA2BAA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14:paraId="350321D7" w14:textId="77777777" w:rsidR="004E556A" w:rsidRPr="00B96B4F" w:rsidRDefault="004E556A" w:rsidP="004E556A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</w:t>
            </w:r>
            <w:r w:rsidRPr="004E556A">
              <w:rPr>
                <w:rFonts w:asciiTheme="majorHAnsi" w:hAnsiTheme="majorHAnsi" w:cs="Arial"/>
                <w:b/>
                <w:sz w:val="18"/>
                <w:szCs w:val="18"/>
              </w:rPr>
              <w:t>ther forms of teaching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5FB50" w14:textId="77777777" w:rsidR="004E556A" w:rsidRPr="00B96B4F" w:rsidRDefault="00607A6E" w:rsidP="00DA2B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556A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F70D78" w14:textId="77777777" w:rsidR="004E556A" w:rsidRPr="00B96B4F" w:rsidRDefault="004E556A" w:rsidP="00DA2BA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C9387" w14:textId="77777777" w:rsidR="004E556A" w:rsidRPr="00B96B4F" w:rsidRDefault="00607A6E" w:rsidP="00DA2BA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E556A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B50651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F1D75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3509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5BC83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C1902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68496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797F2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4D870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43E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1A842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40C841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03418809" w14:textId="7D7E3A99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C425FB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F34DA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9B11C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9C11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4EE9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5C88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EDC5C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0F524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DF1DE0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0B1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5D4185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777C8C0" w14:textId="2878E03E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Chemistry / Chemistry – specialization: Chemistry Education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238EF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9A768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64DBC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F3D3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C55D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090F46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3FBE9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42D34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367CC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5D3EE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8F7C44" w14:textId="77777777" w:rsidTr="004E556A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0AFF679" w14:textId="14E4CF91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Prof. Dr. Nadira Ibrisimović Mehmedinović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BDC875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9EFD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E6ACF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2ABE3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4D0B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1CA83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1634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97EB6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6415BD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D20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31F6EB4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D30C5C1" w14:textId="01108ED2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Knowledge and application of teaching methods in chemistry, with emphasis on their use in online teaching.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95376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7E6D7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DF15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253D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9127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B65E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44800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F7CAE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1E8095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BBF6C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5AE43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3309F45" w14:textId="4353DDAF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course, students will be able to: conduct online chemistry teaching using appropriate platforms and Android applications; thoroughly prepare educational materials and technical support, as well as develop a detailed study of learner profiles and characteristics. They will be able to integrate existing knowledge and experience gained in various fields into online chemistry instruction; assist learners in selecting, collecting, and organizing content; guide and evaluate them throughout the learning process; and encourage them to achieve the best possible results in online teaching.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12AEAB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8F317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0EBE2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46BC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567F3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FE463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7BEE3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E5FA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7B24F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4580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DB8AB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7AFA1B6" w14:textId="76CA61A1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Terms and concepts used in the preparation and delivery of online chemistry instruction; steps for planning and preparing online chemistry teaching; guidelines for selecting platforms for conducting online chemistry classes; application of different forms of visualization; e-learning; m-learning (mobile learning); and the use of various tools and Android applications in online chemistry instruction.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2AF30F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C66B4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1826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9872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B8000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8B0FD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06BD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30E68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5F721F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DFDD1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A106C1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E08FE4C" w14:textId="28504F87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Lectures by the instructor, discussions and consultations between students and the course instructor, and individual preparation of a seminar paper.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F40B2D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30ECC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D39B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F8E5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88C69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DB68F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FB21E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4E5C40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01966D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8A979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C245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626E73C" w14:textId="494943DB" w:rsidR="00AA4542" w:rsidRPr="00AA4542" w:rsidRDefault="00607A6E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Student knowledge assessment is conducted using the following methods: tests (midterm exams), a seminar paper, and a final exam.</w:t>
            </w:r>
          </w:p>
          <w:p w14:paraId="77E943CE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Student activity during lectures: maximum 5 points</w:t>
            </w:r>
          </w:p>
          <w:p w14:paraId="4ADB221B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Two tests (first and second midterm): maximum 2 × 20 points</w:t>
            </w:r>
          </w:p>
          <w:p w14:paraId="53B851C8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Seminar paper on the course topic: 15 points</w:t>
            </w:r>
          </w:p>
          <w:p w14:paraId="612635AE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Final exam: maximum 40 points</w:t>
            </w:r>
          </w:p>
          <w:p w14:paraId="2D9E5ABF" w14:textId="4675FAE9" w:rsidR="00CB72ED" w:rsidRPr="00B96B4F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7A6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7FCC36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FDAAD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4441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9091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11D68F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051074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90FB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59323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6E0DC1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B678B5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9CA0C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5C00A74" w14:textId="6B469DB5" w:rsidR="00AA4542" w:rsidRPr="00AA4542" w:rsidRDefault="00607A6E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4542" w:rsidRPr="00AA4542">
              <w:rPr>
                <w:rFonts w:asciiTheme="majorHAnsi" w:hAnsiTheme="majorHAnsi" w:cs="Arial"/>
                <w:b/>
                <w:sz w:val="18"/>
                <w:szCs w:val="18"/>
              </w:rPr>
              <w:t>Pre-exam obligations: Tests: 40%; Seminar paper: 15%; Student activities: 5%</w:t>
            </w:r>
          </w:p>
          <w:p w14:paraId="735DDB5B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Final exam: 40%.</w:t>
            </w:r>
          </w:p>
          <w:p w14:paraId="290EABDA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</w:p>
          <w:p w14:paraId="5F725D76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Grading system:</w:t>
            </w:r>
          </w:p>
          <w:p w14:paraId="41D787EC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Grade 6: 55–64 points</w:t>
            </w:r>
          </w:p>
          <w:p w14:paraId="04864DF7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Grade 7: 65–74 points</w:t>
            </w:r>
          </w:p>
          <w:p w14:paraId="2F69BF6B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Grade 8: 75–84 points</w:t>
            </w:r>
          </w:p>
          <w:p w14:paraId="06E138AD" w14:textId="77777777" w:rsidR="00AA4542" w:rsidRPr="00AA4542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Grade 9: 85–94 points</w:t>
            </w:r>
          </w:p>
          <w:p w14:paraId="5EE7545F" w14:textId="0947FF4C" w:rsidR="00CB72ED" w:rsidRPr="00B96B4F" w:rsidRDefault="00AA4542" w:rsidP="00AA454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A4542">
              <w:rPr>
                <w:rFonts w:asciiTheme="majorHAnsi" w:hAnsiTheme="majorHAnsi" w:cs="Arial"/>
                <w:b/>
                <w:sz w:val="18"/>
                <w:szCs w:val="18"/>
              </w:rPr>
              <w:t>Grade 10: 95–100 points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607A6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4F8B8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2D175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88BC2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4A380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93C1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27DD6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8E18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69297A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4A9538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F70BF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DCFA1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7D89D59" w14:textId="3FDD78D9" w:rsidR="001971D8" w:rsidRPr="001971D8" w:rsidRDefault="00607A6E" w:rsidP="001971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971D8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1971D8" w:rsidRPr="001971D8">
              <w:rPr>
                <w:rFonts w:asciiTheme="majorHAnsi" w:hAnsiTheme="majorHAnsi" w:cs="Arial"/>
                <w:b/>
                <w:sz w:val="18"/>
                <w:szCs w:val="18"/>
              </w:rPr>
              <w:t>Krmek M. (2017), Mobile Technologies in Teaching, Faculty of Teacher Education, Zagreb.</w:t>
            </w:r>
          </w:p>
          <w:p w14:paraId="6C19180D" w14:textId="0A636B82" w:rsidR="001971D8" w:rsidRPr="001971D8" w:rsidRDefault="001971D8" w:rsidP="001971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</w:t>
            </w:r>
            <w:r w:rsidRPr="001971D8">
              <w:rPr>
                <w:rFonts w:asciiTheme="majorHAnsi" w:hAnsiTheme="majorHAnsi" w:cs="Arial"/>
                <w:b/>
                <w:sz w:val="18"/>
                <w:szCs w:val="18"/>
              </w:rPr>
              <w:t>Dori Y., Ngai C., Szteinberg G. (2023), Advances in Chemistry Education Series: Digital Learning and Teaching in Chemistry, Royal Society of Chemistry.</w:t>
            </w:r>
          </w:p>
          <w:p w14:paraId="50D015B1" w14:textId="35727A22" w:rsidR="00CB72ED" w:rsidRPr="00B96B4F" w:rsidRDefault="001971D8" w:rsidP="001971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3. </w:t>
            </w:r>
            <w:r w:rsidRPr="001971D8">
              <w:rPr>
                <w:rFonts w:asciiTheme="majorHAnsi" w:hAnsiTheme="majorHAnsi" w:cs="Arial"/>
                <w:b/>
                <w:sz w:val="18"/>
                <w:szCs w:val="18"/>
              </w:rPr>
              <w:t>Arends R. I. (1994), Learning to Teach, McGraw-Hill,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07A6E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2A9E29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D735F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E3324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08EE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A8A4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0B7E2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6AD6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E3400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667B1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8C2E9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84799D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D1C0DBC" w14:textId="0CE6D0E3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1971D8" w:rsidRPr="001971D8">
              <w:rPr>
                <w:rFonts w:asciiTheme="majorHAnsi" w:hAnsiTheme="majorHAnsi" w:cs="Arial"/>
                <w:b/>
                <w:sz w:val="18"/>
                <w:szCs w:val="18"/>
              </w:rPr>
              <w:t>Fenrich P., Practical Guidelines for Creating Instructional Multimedia Applications, The Dryden Press,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3D0449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DE4F3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36978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04C4A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9CB79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E0175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8F255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C63C42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7E37A1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D0AC0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7F6CB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A682C7C" w14:textId="77777777" w:rsidR="00CB72ED" w:rsidRPr="00B96B4F" w:rsidRDefault="00607A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79E9F1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87955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1BFFD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D6C2E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A5017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B0E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00CB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5A3611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B49608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EE7522" w:rsidRPr="00EE7522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</w:t>
            </w:r>
            <w:r w:rsidR="00EE7522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909504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E8153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14:paraId="20D92EE0" w14:textId="22262610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A4542">
              <w:rPr>
                <w:rFonts w:asciiTheme="majorHAnsi" w:hAnsiTheme="majorHAnsi" w:cs="Arial"/>
                <w:b/>
                <w:sz w:val="18"/>
                <w:szCs w:val="18"/>
              </w:rPr>
              <w:t>2024/25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35361D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50832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1A30D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774BB93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2F0DF2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51F47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C18BD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B56C15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14:paraId="6069C0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540D3FD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EFC8A3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14:paraId="6A4332B0" w14:textId="77777777" w:rsidR="00CB72ED" w:rsidRPr="00B96B4F" w:rsidRDefault="00607A6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971D8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1971D8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971D8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971D8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1971D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1971D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971D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44584B4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14:paraId="294F389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F3C010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C005E8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536697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3788B3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28285E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A4CEADE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23A29" w14:textId="77777777" w:rsidR="00E70B32" w:rsidRDefault="00E70B32">
      <w:pPr>
        <w:spacing w:line="240" w:lineRule="auto"/>
      </w:pPr>
      <w:r>
        <w:separator/>
      </w:r>
    </w:p>
  </w:endnote>
  <w:endnote w:type="continuationSeparator" w:id="0">
    <w:p w14:paraId="152FC6AC" w14:textId="77777777" w:rsidR="00E70B32" w:rsidRDefault="00E70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289BDA19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23F30557" w14:textId="05C8DEC8" w:rsidR="00CB72ED" w:rsidRDefault="00607A6E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971D8">
            <w:rPr>
              <w:rFonts w:ascii="Cambria" w:hAnsi="Cambria" w:cs="Calibri"/>
              <w:noProof/>
              <w:sz w:val="16"/>
              <w:szCs w:val="16"/>
            </w:rPr>
            <w:t>25.4.2026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D209521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2605D826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14:paraId="4941F6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295D98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49C603C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4C8BC1EF" w14:textId="77777777"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07A6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2E9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07A6E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2E97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607A6E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7E0AB69D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5DA3" w14:textId="77777777" w:rsidR="00E70B32" w:rsidRDefault="00E70B32">
      <w:pPr>
        <w:spacing w:after="0"/>
      </w:pPr>
      <w:r>
        <w:separator/>
      </w:r>
    </w:p>
  </w:footnote>
  <w:footnote w:type="continuationSeparator" w:id="0">
    <w:p w14:paraId="5DC04EE0" w14:textId="77777777" w:rsidR="00E70B32" w:rsidRDefault="00E70B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ED312" w14:textId="77777777" w:rsidR="00CB72ED" w:rsidRDefault="00CB72ED">
    <w:pPr>
      <w:pStyle w:val="Header"/>
    </w:pPr>
  </w:p>
  <w:p w14:paraId="32444FC7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exEVq4ofZyGD6HdfVU4YGe+v0uc=" w:salt="8tFX8YnpaiG6y6Am886edA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71D8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4A6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86FD7"/>
    <w:rsid w:val="0048794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56A"/>
    <w:rsid w:val="004E5C03"/>
    <w:rsid w:val="004F24AC"/>
    <w:rsid w:val="004F510D"/>
    <w:rsid w:val="004F5938"/>
    <w:rsid w:val="00502ADE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0128"/>
    <w:rsid w:val="005D1421"/>
    <w:rsid w:val="005D43BD"/>
    <w:rsid w:val="005D6DDF"/>
    <w:rsid w:val="005E141C"/>
    <w:rsid w:val="005E1CC7"/>
    <w:rsid w:val="005F486C"/>
    <w:rsid w:val="00601ADC"/>
    <w:rsid w:val="00607A6E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C36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0995"/>
    <w:rsid w:val="00724077"/>
    <w:rsid w:val="00726A6B"/>
    <w:rsid w:val="00730AA6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15E0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2E97"/>
    <w:rsid w:val="00A84FB8"/>
    <w:rsid w:val="00A95A82"/>
    <w:rsid w:val="00AA2FB0"/>
    <w:rsid w:val="00AA43FB"/>
    <w:rsid w:val="00AA4542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2208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67D7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0B32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7522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14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E3A22"/>
  <w15:docId w15:val="{4CBA3716-F70F-41C2-8FC8-0A4BBC86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27</cp:revision>
  <cp:lastPrinted>2024-03-25T13:56:00Z</cp:lastPrinted>
  <dcterms:created xsi:type="dcterms:W3CDTF">2024-03-25T12:55:00Z</dcterms:created>
  <dcterms:modified xsi:type="dcterms:W3CDTF">2026-04-25T19:09:00Z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